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93" w:rsidRPr="00A47793" w:rsidRDefault="00A47793" w:rsidP="00970769">
      <w:pPr>
        <w:jc w:val="center"/>
        <w:rPr>
          <w:b/>
          <w:sz w:val="24"/>
          <w:szCs w:val="24"/>
        </w:rPr>
      </w:pPr>
      <w:bookmarkStart w:id="0" w:name="_GoBack"/>
      <w:bookmarkEnd w:id="0"/>
      <w:r w:rsidRPr="00A47793">
        <w:rPr>
          <w:b/>
          <w:sz w:val="24"/>
          <w:szCs w:val="24"/>
        </w:rPr>
        <w:t>Characterization of corrosion behaviour of two defferent brasses in three types of sintetic water</w:t>
      </w:r>
    </w:p>
    <w:p w:rsidR="00A47793" w:rsidRDefault="00A47793" w:rsidP="00F13BD3">
      <w:pPr>
        <w:jc w:val="both"/>
        <w:rPr>
          <w:sz w:val="24"/>
          <w:szCs w:val="24"/>
        </w:rPr>
      </w:pPr>
    </w:p>
    <w:p w:rsidR="00AA022A" w:rsidRDefault="00A47793" w:rsidP="00970769">
      <w:pPr>
        <w:jc w:val="center"/>
        <w:rPr>
          <w:sz w:val="24"/>
          <w:szCs w:val="24"/>
        </w:rPr>
      </w:pPr>
      <w:r>
        <w:rPr>
          <w:sz w:val="24"/>
          <w:szCs w:val="24"/>
        </w:rPr>
        <w:t>Tadeja Kosec</w:t>
      </w:r>
      <w:r w:rsidR="00970769">
        <w:rPr>
          <w:sz w:val="24"/>
          <w:szCs w:val="24"/>
        </w:rPr>
        <w:t>,</w:t>
      </w:r>
      <w:r w:rsidR="00970769" w:rsidRPr="00970769">
        <w:rPr>
          <w:sz w:val="24"/>
          <w:szCs w:val="24"/>
        </w:rPr>
        <w:t xml:space="preserve"> </w:t>
      </w:r>
      <w:r w:rsidR="00970769">
        <w:rPr>
          <w:sz w:val="24"/>
          <w:szCs w:val="24"/>
        </w:rPr>
        <w:t>Mirjam Bajt Leban,</w:t>
      </w:r>
    </w:p>
    <w:p w:rsidR="00A47793" w:rsidRDefault="00A47793" w:rsidP="00970769">
      <w:pPr>
        <w:jc w:val="center"/>
        <w:rPr>
          <w:sz w:val="24"/>
          <w:szCs w:val="24"/>
        </w:rPr>
      </w:pPr>
    </w:p>
    <w:p w:rsidR="00A47793" w:rsidRDefault="00A47793" w:rsidP="00970769">
      <w:pPr>
        <w:jc w:val="center"/>
        <w:rPr>
          <w:sz w:val="24"/>
          <w:szCs w:val="24"/>
        </w:rPr>
      </w:pPr>
      <w:r>
        <w:rPr>
          <w:sz w:val="24"/>
          <w:szCs w:val="24"/>
        </w:rPr>
        <w:t>Slovenian Building and Civil Engineering Institute, Dimičeva 12, 1000 Ljubljana, Slovenia</w:t>
      </w:r>
    </w:p>
    <w:p w:rsidR="00A47793" w:rsidRPr="00F13BD3" w:rsidRDefault="00A47793" w:rsidP="00F13BD3">
      <w:pPr>
        <w:jc w:val="both"/>
        <w:rPr>
          <w:sz w:val="24"/>
          <w:szCs w:val="24"/>
        </w:rPr>
      </w:pPr>
    </w:p>
    <w:p w:rsidR="002405F9" w:rsidRDefault="00A47793" w:rsidP="00803F27">
      <w:pPr>
        <w:jc w:val="both"/>
        <w:rPr>
          <w:noProof/>
          <w:spacing w:val="-2"/>
          <w:sz w:val="24"/>
          <w:szCs w:val="24"/>
        </w:rPr>
      </w:pPr>
      <w:r>
        <w:rPr>
          <w:noProof/>
          <w:spacing w:val="-2"/>
          <w:sz w:val="24"/>
          <w:szCs w:val="24"/>
        </w:rPr>
        <w:t>Brasses are widely used in drinking water for elements such are valves and fittings because of their good machinability. This property is achieved by adding lead (Pb) in brass</w:t>
      </w:r>
      <w:r w:rsidR="00D93081">
        <w:rPr>
          <w:noProof/>
          <w:spacing w:val="-2"/>
          <w:sz w:val="24"/>
          <w:szCs w:val="24"/>
        </w:rPr>
        <w:t xml:space="preserve"> i</w:t>
      </w:r>
      <w:r w:rsidR="00970769">
        <w:rPr>
          <w:noProof/>
          <w:spacing w:val="-2"/>
          <w:sz w:val="24"/>
          <w:szCs w:val="24"/>
        </w:rPr>
        <w:t>n</w:t>
      </w:r>
      <w:r w:rsidR="00D93081">
        <w:rPr>
          <w:noProof/>
          <w:spacing w:val="-2"/>
          <w:sz w:val="24"/>
          <w:szCs w:val="24"/>
        </w:rPr>
        <w:t xml:space="preserve"> </w:t>
      </w:r>
      <w:r w:rsidR="00970769">
        <w:rPr>
          <w:noProof/>
          <w:spacing w:val="-2"/>
          <w:sz w:val="24"/>
          <w:szCs w:val="24"/>
        </w:rPr>
        <w:t xml:space="preserve">certain </w:t>
      </w:r>
      <w:r w:rsidR="00D93081">
        <w:rPr>
          <w:noProof/>
          <w:spacing w:val="-2"/>
          <w:sz w:val="24"/>
          <w:szCs w:val="24"/>
        </w:rPr>
        <w:t xml:space="preserve">amounts (up to </w:t>
      </w:r>
      <w:r w:rsidR="00970769">
        <w:rPr>
          <w:noProof/>
          <w:spacing w:val="-2"/>
          <w:sz w:val="24"/>
          <w:szCs w:val="24"/>
        </w:rPr>
        <w:t>2.5</w:t>
      </w:r>
      <w:r w:rsidR="00D93081">
        <w:rPr>
          <w:noProof/>
          <w:spacing w:val="-2"/>
          <w:sz w:val="24"/>
          <w:szCs w:val="24"/>
        </w:rPr>
        <w:t xml:space="preserve"> mass %). Pb acts </w:t>
      </w:r>
      <w:r>
        <w:rPr>
          <w:noProof/>
          <w:spacing w:val="-2"/>
          <w:sz w:val="24"/>
          <w:szCs w:val="24"/>
        </w:rPr>
        <w:t xml:space="preserve">as a lubricant during </w:t>
      </w:r>
      <w:r w:rsidR="00D93081">
        <w:rPr>
          <w:noProof/>
          <w:spacing w:val="-2"/>
          <w:sz w:val="24"/>
          <w:szCs w:val="24"/>
        </w:rPr>
        <w:t xml:space="preserve">the </w:t>
      </w:r>
      <w:r>
        <w:rPr>
          <w:noProof/>
          <w:spacing w:val="-2"/>
          <w:sz w:val="24"/>
          <w:szCs w:val="24"/>
        </w:rPr>
        <w:t>cutting</w:t>
      </w:r>
      <w:r w:rsidR="00D93081">
        <w:rPr>
          <w:noProof/>
          <w:spacing w:val="-2"/>
          <w:sz w:val="24"/>
          <w:szCs w:val="24"/>
        </w:rPr>
        <w:t xml:space="preserve"> process</w:t>
      </w:r>
      <w:r>
        <w:rPr>
          <w:noProof/>
          <w:spacing w:val="-2"/>
          <w:sz w:val="24"/>
          <w:szCs w:val="24"/>
        </w:rPr>
        <w:t>. However, in many types of waters com</w:t>
      </w:r>
      <w:r w:rsidR="00D93081">
        <w:rPr>
          <w:noProof/>
          <w:spacing w:val="-2"/>
          <w:sz w:val="24"/>
          <w:szCs w:val="24"/>
        </w:rPr>
        <w:t>m</w:t>
      </w:r>
      <w:r>
        <w:rPr>
          <w:noProof/>
          <w:spacing w:val="-2"/>
          <w:sz w:val="24"/>
          <w:szCs w:val="24"/>
        </w:rPr>
        <w:t xml:space="preserve">only used </w:t>
      </w:r>
      <w:r>
        <w:rPr>
          <w:noProof/>
          <w:spacing w:val="-2"/>
          <w:sz w:val="24"/>
          <w:szCs w:val="24"/>
        </w:rPr>
        <w:sym w:font="Symbol" w:char="F061"/>
      </w:r>
      <w:r>
        <w:rPr>
          <w:noProof/>
          <w:spacing w:val="-2"/>
          <w:sz w:val="24"/>
          <w:szCs w:val="24"/>
        </w:rPr>
        <w:t>-</w:t>
      </w:r>
      <w:r>
        <w:rPr>
          <w:noProof/>
          <w:spacing w:val="-2"/>
          <w:sz w:val="24"/>
          <w:szCs w:val="24"/>
        </w:rPr>
        <w:sym w:font="Symbol" w:char="F062"/>
      </w:r>
      <w:r>
        <w:rPr>
          <w:noProof/>
          <w:spacing w:val="-2"/>
          <w:sz w:val="24"/>
          <w:szCs w:val="24"/>
        </w:rPr>
        <w:t xml:space="preserve"> brasses dezinficate</w:t>
      </w:r>
      <w:r w:rsidR="00D93081">
        <w:rPr>
          <w:noProof/>
          <w:spacing w:val="-2"/>
          <w:sz w:val="24"/>
          <w:szCs w:val="24"/>
        </w:rPr>
        <w:t xml:space="preserve">, which means that </w:t>
      </w:r>
      <w:r>
        <w:rPr>
          <w:noProof/>
          <w:spacing w:val="-2"/>
          <w:sz w:val="24"/>
          <w:szCs w:val="24"/>
        </w:rPr>
        <w:sym w:font="Symbol" w:char="F062"/>
      </w:r>
      <w:r>
        <w:rPr>
          <w:noProof/>
          <w:spacing w:val="-2"/>
          <w:sz w:val="24"/>
          <w:szCs w:val="24"/>
        </w:rPr>
        <w:t xml:space="preserve"> phase dis</w:t>
      </w:r>
      <w:r w:rsidR="00D93081">
        <w:rPr>
          <w:noProof/>
          <w:spacing w:val="-2"/>
          <w:sz w:val="24"/>
          <w:szCs w:val="24"/>
        </w:rPr>
        <w:t>s</w:t>
      </w:r>
      <w:r>
        <w:rPr>
          <w:noProof/>
          <w:spacing w:val="-2"/>
          <w:sz w:val="24"/>
          <w:szCs w:val="24"/>
        </w:rPr>
        <w:t xml:space="preserve">olves </w:t>
      </w:r>
      <w:r w:rsidR="00BE3895">
        <w:rPr>
          <w:noProof/>
          <w:spacing w:val="-2"/>
          <w:sz w:val="24"/>
          <w:szCs w:val="24"/>
        </w:rPr>
        <w:t>and</w:t>
      </w:r>
      <w:r>
        <w:rPr>
          <w:noProof/>
          <w:spacing w:val="-2"/>
          <w:sz w:val="24"/>
          <w:szCs w:val="24"/>
        </w:rPr>
        <w:t xml:space="preserve"> lead migrates into water.</w:t>
      </w:r>
      <w:r w:rsidR="002405F9">
        <w:rPr>
          <w:noProof/>
          <w:spacing w:val="-2"/>
          <w:sz w:val="24"/>
          <w:szCs w:val="24"/>
        </w:rPr>
        <w:t xml:space="preserve"> </w:t>
      </w:r>
      <w:r w:rsidR="00D93081">
        <w:rPr>
          <w:noProof/>
          <w:spacing w:val="-2"/>
          <w:sz w:val="24"/>
          <w:szCs w:val="24"/>
        </w:rPr>
        <w:t>In Europe, the c</w:t>
      </w:r>
      <w:r w:rsidR="002405F9">
        <w:rPr>
          <w:noProof/>
          <w:spacing w:val="-2"/>
          <w:sz w:val="24"/>
          <w:szCs w:val="24"/>
        </w:rPr>
        <w:t xml:space="preserve">oncentration of lead in drinking water is restricted by Drinking water directive and </w:t>
      </w:r>
      <w:r w:rsidR="00D93081">
        <w:rPr>
          <w:noProof/>
          <w:spacing w:val="-2"/>
          <w:sz w:val="24"/>
          <w:szCs w:val="24"/>
        </w:rPr>
        <w:t>is limited to</w:t>
      </w:r>
      <w:r w:rsidR="002405F9">
        <w:rPr>
          <w:noProof/>
          <w:spacing w:val="-2"/>
          <w:sz w:val="24"/>
          <w:szCs w:val="24"/>
        </w:rPr>
        <w:t xml:space="preserve"> 10 µg/</w:t>
      </w:r>
      <w:r w:rsidR="00D93081">
        <w:rPr>
          <w:noProof/>
          <w:spacing w:val="-2"/>
          <w:sz w:val="24"/>
          <w:szCs w:val="24"/>
        </w:rPr>
        <w:t xml:space="preserve">L. However, </w:t>
      </w:r>
      <w:r w:rsidR="002405F9">
        <w:rPr>
          <w:noProof/>
          <w:spacing w:val="-2"/>
          <w:sz w:val="24"/>
          <w:szCs w:val="24"/>
        </w:rPr>
        <w:t xml:space="preserve">dezincification of small components of drinking water installation can rise its concentration </w:t>
      </w:r>
      <w:r w:rsidR="00D93081">
        <w:rPr>
          <w:noProof/>
          <w:spacing w:val="-2"/>
          <w:sz w:val="24"/>
          <w:szCs w:val="24"/>
        </w:rPr>
        <w:t>above the</w:t>
      </w:r>
      <w:r w:rsidR="002405F9">
        <w:rPr>
          <w:noProof/>
          <w:spacing w:val="-2"/>
          <w:sz w:val="24"/>
          <w:szCs w:val="24"/>
        </w:rPr>
        <w:t xml:space="preserve"> allowed value.</w:t>
      </w:r>
    </w:p>
    <w:p w:rsidR="00297E23" w:rsidRDefault="00BE3895" w:rsidP="00803F27">
      <w:pPr>
        <w:jc w:val="both"/>
        <w:rPr>
          <w:noProof/>
          <w:spacing w:val="-2"/>
          <w:sz w:val="24"/>
          <w:szCs w:val="24"/>
        </w:rPr>
      </w:pPr>
      <w:r>
        <w:rPr>
          <w:noProof/>
          <w:spacing w:val="-2"/>
          <w:sz w:val="24"/>
          <w:szCs w:val="24"/>
        </w:rPr>
        <w:t xml:space="preserve">In the </w:t>
      </w:r>
      <w:r w:rsidR="00297E23">
        <w:rPr>
          <w:noProof/>
          <w:spacing w:val="-2"/>
          <w:sz w:val="24"/>
          <w:szCs w:val="24"/>
        </w:rPr>
        <w:t>present study, two types of brass</w:t>
      </w:r>
      <w:r w:rsidR="00D93081">
        <w:rPr>
          <w:noProof/>
          <w:spacing w:val="-2"/>
          <w:sz w:val="24"/>
          <w:szCs w:val="24"/>
        </w:rPr>
        <w:t>es</w:t>
      </w:r>
      <w:r w:rsidR="00297E23">
        <w:rPr>
          <w:noProof/>
          <w:spacing w:val="-2"/>
          <w:sz w:val="24"/>
          <w:szCs w:val="24"/>
        </w:rPr>
        <w:t xml:space="preserve"> were selected for the investigation: the first type with the composition allowed (approved</w:t>
      </w:r>
      <w:r w:rsidR="00970769">
        <w:rPr>
          <w:noProof/>
          <w:spacing w:val="-2"/>
          <w:sz w:val="24"/>
          <w:szCs w:val="24"/>
        </w:rPr>
        <w:t>)</w:t>
      </w:r>
      <w:r w:rsidR="00297E23">
        <w:rPr>
          <w:noProof/>
          <w:spacing w:val="-2"/>
          <w:sz w:val="24"/>
          <w:szCs w:val="24"/>
        </w:rPr>
        <w:t xml:space="preserve"> by 4 MS, and the second with the composition</w:t>
      </w:r>
      <w:r w:rsidR="00D93081">
        <w:rPr>
          <w:noProof/>
          <w:spacing w:val="-2"/>
          <w:sz w:val="24"/>
          <w:szCs w:val="24"/>
        </w:rPr>
        <w:t>,</w:t>
      </w:r>
      <w:r w:rsidR="00297E23">
        <w:rPr>
          <w:noProof/>
          <w:spacing w:val="-2"/>
          <w:sz w:val="24"/>
          <w:szCs w:val="24"/>
        </w:rPr>
        <w:t xml:space="preserve"> which is not approved. Both of materials were exposed to three different types of syntetic water</w:t>
      </w:r>
      <w:r w:rsidR="00D93081">
        <w:rPr>
          <w:noProof/>
          <w:spacing w:val="-2"/>
          <w:sz w:val="24"/>
          <w:szCs w:val="24"/>
        </w:rPr>
        <w:t xml:space="preserve"> that</w:t>
      </w:r>
      <w:r w:rsidR="00297E23">
        <w:rPr>
          <w:noProof/>
          <w:spacing w:val="-2"/>
          <w:sz w:val="24"/>
          <w:szCs w:val="24"/>
        </w:rPr>
        <w:t xml:space="preserve"> differ in pH, alkalinity and chloride concentration. During the </w:t>
      </w:r>
      <w:r w:rsidR="0039000B">
        <w:rPr>
          <w:noProof/>
          <w:spacing w:val="-2"/>
          <w:sz w:val="24"/>
          <w:szCs w:val="24"/>
        </w:rPr>
        <w:t xml:space="preserve">10 </w:t>
      </w:r>
      <w:r w:rsidR="00D93081">
        <w:rPr>
          <w:noProof/>
          <w:spacing w:val="-2"/>
          <w:sz w:val="24"/>
          <w:szCs w:val="24"/>
        </w:rPr>
        <w:t xml:space="preserve">month </w:t>
      </w:r>
      <w:r w:rsidR="00297E23">
        <w:rPr>
          <w:noProof/>
          <w:spacing w:val="-2"/>
          <w:sz w:val="24"/>
          <w:szCs w:val="24"/>
        </w:rPr>
        <w:t xml:space="preserve">exposure, electrochemical impedance spectroscopy measurements were conducted regularly – at the beggining every week, later on once per month. At the same time, visual inspection of exposed surfaces is </w:t>
      </w:r>
      <w:r w:rsidR="00D93081">
        <w:rPr>
          <w:noProof/>
          <w:spacing w:val="-2"/>
          <w:sz w:val="24"/>
          <w:szCs w:val="24"/>
        </w:rPr>
        <w:t xml:space="preserve">regularly </w:t>
      </w:r>
      <w:r w:rsidR="00297E23">
        <w:rPr>
          <w:noProof/>
          <w:spacing w:val="-2"/>
          <w:sz w:val="24"/>
          <w:szCs w:val="24"/>
        </w:rPr>
        <w:t xml:space="preserve">performed. Ocasionally, Pb concentration in water where specimens are exposed, is measured. </w:t>
      </w:r>
    </w:p>
    <w:p w:rsidR="005D15EC" w:rsidRDefault="00297E23" w:rsidP="00803F27">
      <w:pPr>
        <w:jc w:val="both"/>
        <w:rPr>
          <w:noProof/>
          <w:spacing w:val="-2"/>
          <w:sz w:val="24"/>
          <w:szCs w:val="24"/>
        </w:rPr>
      </w:pPr>
      <w:r>
        <w:rPr>
          <w:noProof/>
          <w:spacing w:val="-2"/>
          <w:sz w:val="24"/>
          <w:szCs w:val="24"/>
        </w:rPr>
        <w:t>So far, brasses are exposed for more than half of year. It is observed that the level of Pb in particular water (highest pH, concentration of chlorides and lowest alkalinity) on not approved brass</w:t>
      </w:r>
      <w:r w:rsidR="00D93081">
        <w:rPr>
          <w:noProof/>
          <w:spacing w:val="-2"/>
          <w:sz w:val="24"/>
          <w:szCs w:val="24"/>
        </w:rPr>
        <w:t xml:space="preserve"> is becoming</w:t>
      </w:r>
      <w:r>
        <w:rPr>
          <w:noProof/>
          <w:spacing w:val="-2"/>
          <w:sz w:val="24"/>
          <w:szCs w:val="24"/>
        </w:rPr>
        <w:t xml:space="preserve"> higher than in two other waters. </w:t>
      </w:r>
      <w:r w:rsidR="005D15EC">
        <w:rPr>
          <w:noProof/>
          <w:spacing w:val="-2"/>
          <w:sz w:val="24"/>
          <w:szCs w:val="24"/>
        </w:rPr>
        <w:t xml:space="preserve">The most probable source of Pb in water is dezincification of brass. </w:t>
      </w:r>
    </w:p>
    <w:p w:rsidR="00BE3895" w:rsidRDefault="00297E23" w:rsidP="00803F27">
      <w:pPr>
        <w:jc w:val="both"/>
        <w:rPr>
          <w:noProof/>
          <w:spacing w:val="-2"/>
          <w:sz w:val="24"/>
          <w:szCs w:val="24"/>
        </w:rPr>
      </w:pPr>
      <w:r>
        <w:rPr>
          <w:noProof/>
          <w:spacing w:val="-2"/>
          <w:sz w:val="24"/>
          <w:szCs w:val="24"/>
        </w:rPr>
        <w:t>Electrochemical impedance spectroscopy</w:t>
      </w:r>
      <w:r w:rsidR="00D93081">
        <w:rPr>
          <w:noProof/>
          <w:spacing w:val="-2"/>
          <w:sz w:val="24"/>
          <w:szCs w:val="24"/>
        </w:rPr>
        <w:t xml:space="preserve"> results were </w:t>
      </w:r>
      <w:r>
        <w:rPr>
          <w:noProof/>
          <w:spacing w:val="-2"/>
          <w:sz w:val="24"/>
          <w:szCs w:val="24"/>
        </w:rPr>
        <w:t>not yet analysed, however it is belived that it will be poss</w:t>
      </w:r>
      <w:r w:rsidR="005D15EC">
        <w:rPr>
          <w:noProof/>
          <w:spacing w:val="-2"/>
          <w:sz w:val="24"/>
          <w:szCs w:val="24"/>
        </w:rPr>
        <w:t xml:space="preserve">ible to differentiate between corrosion </w:t>
      </w:r>
      <w:r w:rsidR="00D93081">
        <w:rPr>
          <w:noProof/>
          <w:spacing w:val="-2"/>
          <w:sz w:val="24"/>
          <w:szCs w:val="24"/>
        </w:rPr>
        <w:t xml:space="preserve">systems </w:t>
      </w:r>
      <w:r w:rsidR="005D15EC">
        <w:rPr>
          <w:noProof/>
          <w:spacing w:val="-2"/>
          <w:sz w:val="24"/>
          <w:szCs w:val="24"/>
        </w:rPr>
        <w:t xml:space="preserve">with different susceptibility to dezincification. </w:t>
      </w:r>
    </w:p>
    <w:p w:rsidR="002405F9" w:rsidRDefault="002405F9" w:rsidP="00803F27">
      <w:pPr>
        <w:jc w:val="both"/>
        <w:rPr>
          <w:noProof/>
          <w:spacing w:val="-2"/>
          <w:sz w:val="24"/>
          <w:szCs w:val="24"/>
        </w:rPr>
      </w:pPr>
    </w:p>
    <w:sectPr w:rsidR="002405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ED" w:rsidRDefault="000E24ED">
      <w:r>
        <w:separator/>
      </w:r>
    </w:p>
  </w:endnote>
  <w:endnote w:type="continuationSeparator" w:id="0">
    <w:p w:rsidR="000E24ED" w:rsidRDefault="000E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ED" w:rsidRDefault="000E24ED">
      <w:r>
        <w:separator/>
      </w:r>
    </w:p>
  </w:footnote>
  <w:footnote w:type="continuationSeparator" w:id="0">
    <w:p w:rsidR="000E24ED" w:rsidRDefault="000E2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20F"/>
    <w:multiLevelType w:val="multilevel"/>
    <w:tmpl w:val="1B24869C"/>
    <w:lvl w:ilvl="0">
      <w:start w:val="3"/>
      <w:numFmt w:val="decimal"/>
      <w:lvlText w:val="%1."/>
      <w:lvlJc w:val="left"/>
      <w:pPr>
        <w:ind w:left="114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
    <w:nsid w:val="15494539"/>
    <w:multiLevelType w:val="hybridMultilevel"/>
    <w:tmpl w:val="95067250"/>
    <w:lvl w:ilvl="0" w:tplc="F028C2A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0587FF6"/>
    <w:multiLevelType w:val="hybridMultilevel"/>
    <w:tmpl w:val="8E167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2D3189F"/>
    <w:multiLevelType w:val="multilevel"/>
    <w:tmpl w:val="1B24869C"/>
    <w:lvl w:ilvl="0">
      <w:start w:val="3"/>
      <w:numFmt w:val="decimal"/>
      <w:lvlText w:val="%1."/>
      <w:lvlJc w:val="left"/>
      <w:pPr>
        <w:ind w:left="114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4">
    <w:nsid w:val="412F6D91"/>
    <w:multiLevelType w:val="multilevel"/>
    <w:tmpl w:val="1B24869C"/>
    <w:lvl w:ilvl="0">
      <w:start w:val="3"/>
      <w:numFmt w:val="decimal"/>
      <w:lvlText w:val="%1."/>
      <w:lvlJc w:val="left"/>
      <w:pPr>
        <w:ind w:left="114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5">
    <w:nsid w:val="459D5064"/>
    <w:multiLevelType w:val="hybridMultilevel"/>
    <w:tmpl w:val="9C38BF8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6161A12"/>
    <w:multiLevelType w:val="hybridMultilevel"/>
    <w:tmpl w:val="7E56125E"/>
    <w:lvl w:ilvl="0" w:tplc="0424000F">
      <w:start w:val="1"/>
      <w:numFmt w:val="decimal"/>
      <w:lvlText w:val="%1."/>
      <w:lvlJc w:val="left"/>
      <w:pPr>
        <w:ind w:left="1145" w:hanging="360"/>
      </w:pPr>
    </w:lvl>
    <w:lvl w:ilvl="1" w:tplc="04240019">
      <w:start w:val="1"/>
      <w:numFmt w:val="lowerLetter"/>
      <w:lvlText w:val="%2."/>
      <w:lvlJc w:val="left"/>
      <w:pPr>
        <w:ind w:left="1865" w:hanging="360"/>
      </w:pPr>
    </w:lvl>
    <w:lvl w:ilvl="2" w:tplc="0424001B">
      <w:start w:val="1"/>
      <w:numFmt w:val="lowerRoman"/>
      <w:lvlText w:val="%3."/>
      <w:lvlJc w:val="right"/>
      <w:pPr>
        <w:ind w:left="2585" w:hanging="180"/>
      </w:pPr>
    </w:lvl>
    <w:lvl w:ilvl="3" w:tplc="0424000F">
      <w:start w:val="1"/>
      <w:numFmt w:val="decimal"/>
      <w:lvlText w:val="%4."/>
      <w:lvlJc w:val="left"/>
      <w:pPr>
        <w:ind w:left="3305" w:hanging="360"/>
      </w:pPr>
    </w:lvl>
    <w:lvl w:ilvl="4" w:tplc="04240019">
      <w:start w:val="1"/>
      <w:numFmt w:val="lowerLetter"/>
      <w:lvlText w:val="%5."/>
      <w:lvlJc w:val="left"/>
      <w:pPr>
        <w:ind w:left="4025" w:hanging="360"/>
      </w:pPr>
    </w:lvl>
    <w:lvl w:ilvl="5" w:tplc="0424001B">
      <w:start w:val="1"/>
      <w:numFmt w:val="lowerRoman"/>
      <w:lvlText w:val="%6."/>
      <w:lvlJc w:val="right"/>
      <w:pPr>
        <w:ind w:left="4745" w:hanging="180"/>
      </w:pPr>
    </w:lvl>
    <w:lvl w:ilvl="6" w:tplc="0424000F">
      <w:start w:val="1"/>
      <w:numFmt w:val="decimal"/>
      <w:lvlText w:val="%7."/>
      <w:lvlJc w:val="left"/>
      <w:pPr>
        <w:ind w:left="5465" w:hanging="360"/>
      </w:pPr>
    </w:lvl>
    <w:lvl w:ilvl="7" w:tplc="04240019">
      <w:start w:val="1"/>
      <w:numFmt w:val="lowerLetter"/>
      <w:lvlText w:val="%8."/>
      <w:lvlJc w:val="left"/>
      <w:pPr>
        <w:ind w:left="6185" w:hanging="360"/>
      </w:pPr>
    </w:lvl>
    <w:lvl w:ilvl="8" w:tplc="0424001B">
      <w:start w:val="1"/>
      <w:numFmt w:val="lowerRoman"/>
      <w:lvlText w:val="%9."/>
      <w:lvlJc w:val="right"/>
      <w:pPr>
        <w:ind w:left="6905"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69"/>
    <w:rsid w:val="00073F44"/>
    <w:rsid w:val="000A14C9"/>
    <w:rsid w:val="000E24ED"/>
    <w:rsid w:val="002405F9"/>
    <w:rsid w:val="002422E0"/>
    <w:rsid w:val="00245455"/>
    <w:rsid w:val="00297E23"/>
    <w:rsid w:val="002C10D0"/>
    <w:rsid w:val="003612E3"/>
    <w:rsid w:val="0039000B"/>
    <w:rsid w:val="003A7F1A"/>
    <w:rsid w:val="00417B42"/>
    <w:rsid w:val="004220B2"/>
    <w:rsid w:val="00423C0F"/>
    <w:rsid w:val="00437ACC"/>
    <w:rsid w:val="00452C35"/>
    <w:rsid w:val="005D15EC"/>
    <w:rsid w:val="00634DA9"/>
    <w:rsid w:val="00656169"/>
    <w:rsid w:val="006E337A"/>
    <w:rsid w:val="006E5EBE"/>
    <w:rsid w:val="006F0AD0"/>
    <w:rsid w:val="00803F27"/>
    <w:rsid w:val="00820B26"/>
    <w:rsid w:val="0094727D"/>
    <w:rsid w:val="00970769"/>
    <w:rsid w:val="009B0D74"/>
    <w:rsid w:val="00A23C91"/>
    <w:rsid w:val="00A47793"/>
    <w:rsid w:val="00AA022A"/>
    <w:rsid w:val="00B23297"/>
    <w:rsid w:val="00B279F2"/>
    <w:rsid w:val="00B404CA"/>
    <w:rsid w:val="00B52C6F"/>
    <w:rsid w:val="00B8622C"/>
    <w:rsid w:val="00B87CBA"/>
    <w:rsid w:val="00BB7A2E"/>
    <w:rsid w:val="00BC2C5B"/>
    <w:rsid w:val="00BE3895"/>
    <w:rsid w:val="00C16EF3"/>
    <w:rsid w:val="00C42ABA"/>
    <w:rsid w:val="00CE5A9B"/>
    <w:rsid w:val="00D93081"/>
    <w:rsid w:val="00E73915"/>
    <w:rsid w:val="00EB7610"/>
    <w:rsid w:val="00F13BD3"/>
    <w:rsid w:val="00F178A5"/>
    <w:rsid w:val="00F23CD6"/>
    <w:rsid w:val="00F7617C"/>
    <w:rsid w:val="00F7692C"/>
    <w:rsid w:val="00FB1029"/>
    <w:rsid w:val="00FC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6169"/>
    <w:pPr>
      <w:overflowPunct w:val="0"/>
      <w:autoSpaceDE w:val="0"/>
      <w:autoSpaceDN w:val="0"/>
      <w:adjustRightInd w:val="0"/>
      <w:textAlignment w:val="baseline"/>
    </w:pPr>
    <w:rPr>
      <w:lang w:val="sl-SI" w:eastAsia="sl-S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656169"/>
    <w:pPr>
      <w:tabs>
        <w:tab w:val="center" w:pos="4153"/>
        <w:tab w:val="right" w:pos="8306"/>
      </w:tabs>
    </w:pPr>
  </w:style>
  <w:style w:type="paragraph" w:styleId="Voettekst">
    <w:name w:val="footer"/>
    <w:basedOn w:val="Standaard"/>
    <w:rsid w:val="00656169"/>
    <w:pPr>
      <w:tabs>
        <w:tab w:val="center" w:pos="4153"/>
        <w:tab w:val="right" w:pos="8306"/>
      </w:tabs>
    </w:pPr>
  </w:style>
  <w:style w:type="paragraph" w:styleId="Plattetekst">
    <w:name w:val="Body Text"/>
    <w:basedOn w:val="Standaard"/>
    <w:rsid w:val="00656169"/>
    <w:pPr>
      <w:tabs>
        <w:tab w:val="left" w:pos="-720"/>
      </w:tabs>
      <w:suppressAutoHyphens/>
    </w:pPr>
    <w:rPr>
      <w:b/>
      <w:spacing w:val="-2"/>
    </w:rPr>
  </w:style>
  <w:style w:type="character" w:styleId="Hyperlink">
    <w:name w:val="Hyperlink"/>
    <w:rsid w:val="00F23CD6"/>
    <w:rPr>
      <w:color w:val="660099"/>
      <w:u w:val="single"/>
    </w:rPr>
  </w:style>
  <w:style w:type="character" w:customStyle="1" w:styleId="apple-converted-space">
    <w:name w:val="apple-converted-space"/>
    <w:rsid w:val="00437ACC"/>
  </w:style>
  <w:style w:type="paragraph" w:styleId="Lijstalinea">
    <w:name w:val="List Paragraph"/>
    <w:basedOn w:val="Standaard"/>
    <w:uiPriority w:val="34"/>
    <w:qFormat/>
    <w:rsid w:val="00437ACC"/>
    <w:pPr>
      <w:overflowPunct/>
      <w:autoSpaceDE/>
      <w:autoSpaceDN/>
      <w:adjustRightInd/>
      <w:spacing w:after="200" w:line="276" w:lineRule="auto"/>
      <w:ind w:left="720"/>
      <w:contextualSpacing/>
      <w:textAlignment w:val="auto"/>
    </w:pPr>
    <w:rPr>
      <w:rFonts w:ascii="Calibri" w:eastAsia="Calibri" w:hAnsi="Calibri"/>
      <w:sz w:val="22"/>
      <w:szCs w:val="22"/>
      <w:lang w:val="en-GB" w:eastAsia="en-US"/>
    </w:rPr>
  </w:style>
  <w:style w:type="paragraph" w:styleId="Geenafstand">
    <w:name w:val="No Spacing"/>
    <w:uiPriority w:val="1"/>
    <w:qFormat/>
    <w:rsid w:val="00073F44"/>
    <w:rPr>
      <w:rFonts w:ascii="Calibri" w:eastAsia="Calibri" w:hAnsi="Calibri"/>
      <w:sz w:val="22"/>
      <w:szCs w:val="22"/>
      <w:lang w:val="sl-SI"/>
    </w:rPr>
  </w:style>
  <w:style w:type="table" w:styleId="Tabelraster">
    <w:name w:val="Table Grid"/>
    <w:basedOn w:val="Standaardtabel"/>
    <w:uiPriority w:val="59"/>
    <w:rsid w:val="00073F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3081"/>
    <w:rPr>
      <w:rFonts w:ascii="Tahoma" w:hAnsi="Tahoma" w:cs="Tahoma"/>
      <w:sz w:val="16"/>
      <w:szCs w:val="16"/>
    </w:rPr>
  </w:style>
  <w:style w:type="character" w:customStyle="1" w:styleId="BallontekstChar">
    <w:name w:val="Ballontekst Char"/>
    <w:link w:val="Ballontekst"/>
    <w:rsid w:val="00D93081"/>
    <w:rPr>
      <w:rFonts w:ascii="Tahoma" w:hAnsi="Tahoma" w:cs="Tahoma"/>
      <w:sz w:val="16"/>
      <w:szCs w:val="16"/>
    </w:rPr>
  </w:style>
  <w:style w:type="character" w:styleId="Verwijzingopmerking">
    <w:name w:val="annotation reference"/>
    <w:rsid w:val="00D93081"/>
    <w:rPr>
      <w:sz w:val="16"/>
      <w:szCs w:val="16"/>
    </w:rPr>
  </w:style>
  <w:style w:type="paragraph" w:styleId="Tekstopmerking">
    <w:name w:val="annotation text"/>
    <w:basedOn w:val="Standaard"/>
    <w:link w:val="TekstopmerkingChar"/>
    <w:rsid w:val="00D93081"/>
  </w:style>
  <w:style w:type="character" w:customStyle="1" w:styleId="TekstopmerkingChar">
    <w:name w:val="Tekst opmerking Char"/>
    <w:basedOn w:val="Standaardalinea-lettertype"/>
    <w:link w:val="Tekstopmerking"/>
    <w:rsid w:val="00D93081"/>
  </w:style>
  <w:style w:type="paragraph" w:styleId="Onderwerpvanopmerking">
    <w:name w:val="annotation subject"/>
    <w:basedOn w:val="Tekstopmerking"/>
    <w:next w:val="Tekstopmerking"/>
    <w:link w:val="OnderwerpvanopmerkingChar"/>
    <w:rsid w:val="00D93081"/>
    <w:rPr>
      <w:b/>
      <w:bCs/>
    </w:rPr>
  </w:style>
  <w:style w:type="character" w:customStyle="1" w:styleId="OnderwerpvanopmerkingChar">
    <w:name w:val="Onderwerp van opmerking Char"/>
    <w:link w:val="Onderwerpvanopmerking"/>
    <w:rsid w:val="00D93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6169"/>
    <w:pPr>
      <w:overflowPunct w:val="0"/>
      <w:autoSpaceDE w:val="0"/>
      <w:autoSpaceDN w:val="0"/>
      <w:adjustRightInd w:val="0"/>
      <w:textAlignment w:val="baseline"/>
    </w:pPr>
    <w:rPr>
      <w:lang w:val="sl-SI" w:eastAsia="sl-S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656169"/>
    <w:pPr>
      <w:tabs>
        <w:tab w:val="center" w:pos="4153"/>
        <w:tab w:val="right" w:pos="8306"/>
      </w:tabs>
    </w:pPr>
  </w:style>
  <w:style w:type="paragraph" w:styleId="Voettekst">
    <w:name w:val="footer"/>
    <w:basedOn w:val="Standaard"/>
    <w:rsid w:val="00656169"/>
    <w:pPr>
      <w:tabs>
        <w:tab w:val="center" w:pos="4153"/>
        <w:tab w:val="right" w:pos="8306"/>
      </w:tabs>
    </w:pPr>
  </w:style>
  <w:style w:type="paragraph" w:styleId="Plattetekst">
    <w:name w:val="Body Text"/>
    <w:basedOn w:val="Standaard"/>
    <w:rsid w:val="00656169"/>
    <w:pPr>
      <w:tabs>
        <w:tab w:val="left" w:pos="-720"/>
      </w:tabs>
      <w:suppressAutoHyphens/>
    </w:pPr>
    <w:rPr>
      <w:b/>
      <w:spacing w:val="-2"/>
    </w:rPr>
  </w:style>
  <w:style w:type="character" w:styleId="Hyperlink">
    <w:name w:val="Hyperlink"/>
    <w:rsid w:val="00F23CD6"/>
    <w:rPr>
      <w:color w:val="660099"/>
      <w:u w:val="single"/>
    </w:rPr>
  </w:style>
  <w:style w:type="character" w:customStyle="1" w:styleId="apple-converted-space">
    <w:name w:val="apple-converted-space"/>
    <w:rsid w:val="00437ACC"/>
  </w:style>
  <w:style w:type="paragraph" w:styleId="Lijstalinea">
    <w:name w:val="List Paragraph"/>
    <w:basedOn w:val="Standaard"/>
    <w:uiPriority w:val="34"/>
    <w:qFormat/>
    <w:rsid w:val="00437ACC"/>
    <w:pPr>
      <w:overflowPunct/>
      <w:autoSpaceDE/>
      <w:autoSpaceDN/>
      <w:adjustRightInd/>
      <w:spacing w:after="200" w:line="276" w:lineRule="auto"/>
      <w:ind w:left="720"/>
      <w:contextualSpacing/>
      <w:textAlignment w:val="auto"/>
    </w:pPr>
    <w:rPr>
      <w:rFonts w:ascii="Calibri" w:eastAsia="Calibri" w:hAnsi="Calibri"/>
      <w:sz w:val="22"/>
      <w:szCs w:val="22"/>
      <w:lang w:val="en-GB" w:eastAsia="en-US"/>
    </w:rPr>
  </w:style>
  <w:style w:type="paragraph" w:styleId="Geenafstand">
    <w:name w:val="No Spacing"/>
    <w:uiPriority w:val="1"/>
    <w:qFormat/>
    <w:rsid w:val="00073F44"/>
    <w:rPr>
      <w:rFonts w:ascii="Calibri" w:eastAsia="Calibri" w:hAnsi="Calibri"/>
      <w:sz w:val="22"/>
      <w:szCs w:val="22"/>
      <w:lang w:val="sl-SI"/>
    </w:rPr>
  </w:style>
  <w:style w:type="table" w:styleId="Tabelraster">
    <w:name w:val="Table Grid"/>
    <w:basedOn w:val="Standaardtabel"/>
    <w:uiPriority w:val="59"/>
    <w:rsid w:val="00073F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3081"/>
    <w:rPr>
      <w:rFonts w:ascii="Tahoma" w:hAnsi="Tahoma" w:cs="Tahoma"/>
      <w:sz w:val="16"/>
      <w:szCs w:val="16"/>
    </w:rPr>
  </w:style>
  <w:style w:type="character" w:customStyle="1" w:styleId="BallontekstChar">
    <w:name w:val="Ballontekst Char"/>
    <w:link w:val="Ballontekst"/>
    <w:rsid w:val="00D93081"/>
    <w:rPr>
      <w:rFonts w:ascii="Tahoma" w:hAnsi="Tahoma" w:cs="Tahoma"/>
      <w:sz w:val="16"/>
      <w:szCs w:val="16"/>
    </w:rPr>
  </w:style>
  <w:style w:type="character" w:styleId="Verwijzingopmerking">
    <w:name w:val="annotation reference"/>
    <w:rsid w:val="00D93081"/>
    <w:rPr>
      <w:sz w:val="16"/>
      <w:szCs w:val="16"/>
    </w:rPr>
  </w:style>
  <w:style w:type="paragraph" w:styleId="Tekstopmerking">
    <w:name w:val="annotation text"/>
    <w:basedOn w:val="Standaard"/>
    <w:link w:val="TekstopmerkingChar"/>
    <w:rsid w:val="00D93081"/>
  </w:style>
  <w:style w:type="character" w:customStyle="1" w:styleId="TekstopmerkingChar">
    <w:name w:val="Tekst opmerking Char"/>
    <w:basedOn w:val="Standaardalinea-lettertype"/>
    <w:link w:val="Tekstopmerking"/>
    <w:rsid w:val="00D93081"/>
  </w:style>
  <w:style w:type="paragraph" w:styleId="Onderwerpvanopmerking">
    <w:name w:val="annotation subject"/>
    <w:basedOn w:val="Tekstopmerking"/>
    <w:next w:val="Tekstopmerking"/>
    <w:link w:val="OnderwerpvanopmerkingChar"/>
    <w:rsid w:val="00D93081"/>
    <w:rPr>
      <w:b/>
      <w:bCs/>
    </w:rPr>
  </w:style>
  <w:style w:type="character" w:customStyle="1" w:styleId="OnderwerpvanopmerkingChar">
    <w:name w:val="Onderwerp van opmerking Char"/>
    <w:link w:val="Onderwerpvanopmerking"/>
    <w:rsid w:val="00D93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Številni kulturni in zgodovinski spomeniki so izdelani iz brona</vt:lpstr>
      <vt:lpstr>Številni kulturni in zgodovinski spomeniki so izdelani iz brona</vt:lpstr>
    </vt:vector>
  </TitlesOfParts>
  <Company>Zag Ljubljana</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Številni kulturni in zgodovinski spomeniki so izdelani iz brona</dc:title>
  <dc:creator>Tadeja Kosec</dc:creator>
  <cp:lastModifiedBy>Gebruiker</cp:lastModifiedBy>
  <cp:revision>2</cp:revision>
  <dcterms:created xsi:type="dcterms:W3CDTF">2017-01-31T19:05:00Z</dcterms:created>
  <dcterms:modified xsi:type="dcterms:W3CDTF">2017-01-31T19:05:00Z</dcterms:modified>
</cp:coreProperties>
</file>